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русский язык</w:t>
            </w:r>
          </w:p>
          <w:p>
            <w:pPr>
              <w:jc w:val="center"/>
              <w:spacing w:after="0" w:line="240" w:lineRule="auto"/>
              <w:rPr>
                <w:sz w:val="32"/>
                <w:szCs w:val="32"/>
              </w:rPr>
            </w:pPr>
            <w:r>
              <w:rPr>
                <w:rFonts w:ascii="Times New Roman" w:hAnsi="Times New Roman" w:cs="Times New Roman"/>
                <w:color w:val="#000000"/>
                <w:sz w:val="32"/>
                <w:szCs w:val="32"/>
              </w:rPr>
              <w:t> К.М.06.01.01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К.М.06.01.01 «Современный русский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виды, приемы и основные особенности слушания и чтения, говорения и письма как видов речевой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эффективную межличностную коммуникацию в устной и письменной форме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основные нормы русского языка в области устной и письменной речи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основные особенности слушания, говорения, чтения и письма как видов речевой деятельности; основные модели речевого поведения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основы речевых жанров актуальных для учебно-научного общения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знать основные средства создания вербальных и невербальных текстов в различных ситуациях личного и профессионально значимого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реализовывать различные виды речевой деятельности в учебно-научном общении на русском языке</w:t>
            </w:r>
          </w:p>
        </w:tc>
      </w:tr>
      <w:tr>
        <w:trPr>
          <w:trHeight w:hRule="exact" w:val="577.56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уметь осуществлять эффективную межличностную коммуникацию в устной и письменной форме на русском языке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7.4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уметь создавать и редактировать тексты основных жанров в деловой речи</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УК-4.12 владеть различными видами и приемами слушания, говорения, письма</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УК-4.14 владеть приемами создания устных и письменных текстов различных жанров в процессе учебно-научного общения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УК-4.15 владеть мастерством публичных выступлений в учебно-научных ситуациях общения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УК-4.16 владеть способами решения коммуникативных и речевых задач в конкретной ситуации общения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УК-4.17 владеть техниками и приемами коммуникации в условиях межкультурного разнообразия</w:t>
            </w:r>
          </w:p>
        </w:tc>
      </w:tr>
      <w:tr>
        <w:trPr>
          <w:trHeight w:hRule="exact" w:val="416.7449"/>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К.М.06.01.01 «Современный русский язык»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4679" w:type="dxa"/>
          </w:tcPr>
          <w:p/>
        </w:tc>
        <w:tc>
          <w:tcPr>
            <w:tcW w:w="993" w:type="dxa"/>
          </w:tcP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516.9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Выразительное чтение</w:t>
            </w:r>
          </w:p>
          <w:p>
            <w:pPr>
              <w:jc w:val="center"/>
              <w:spacing w:after="0" w:line="240" w:lineRule="auto"/>
              <w:rPr>
                <w:sz w:val="22"/>
                <w:szCs w:val="22"/>
              </w:rPr>
            </w:pPr>
            <w:r>
              <w:rPr>
                <w:rFonts w:ascii="Times New Roman" w:hAnsi="Times New Roman" w:cs="Times New Roman"/>
                <w:color w:val="#000000"/>
                <w:sz w:val="22"/>
                <w:szCs w:val="22"/>
              </w:rPr>
              <w:t> Модуль "Средства массовой информации в сфере теле - и радиовещания"</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Модуль "Средства массовой информации в сфере печати"</w:t>
            </w:r>
          </w:p>
          <w:p>
            <w:pPr>
              <w:jc w:val="center"/>
              <w:spacing w:after="0" w:line="240" w:lineRule="auto"/>
              <w:rPr>
                <w:sz w:val="22"/>
                <w:szCs w:val="22"/>
              </w:rPr>
            </w:pPr>
            <w:r>
              <w:rPr>
                <w:rFonts w:ascii="Times New Roman" w:hAnsi="Times New Roman" w:cs="Times New Roman"/>
                <w:color w:val="#000000"/>
                <w:sz w:val="22"/>
                <w:szCs w:val="22"/>
              </w:rPr>
              <w:t> Практическая грамматика</w:t>
            </w:r>
          </w:p>
          <w:p>
            <w:pPr>
              <w:jc w:val="center"/>
              <w:spacing w:after="0" w:line="240" w:lineRule="auto"/>
              <w:rPr>
                <w:sz w:val="22"/>
                <w:szCs w:val="22"/>
              </w:rPr>
            </w:pPr>
            <w:r>
              <w:rPr>
                <w:rFonts w:ascii="Times New Roman" w:hAnsi="Times New Roman" w:cs="Times New Roman"/>
                <w:color w:val="#000000"/>
                <w:sz w:val="22"/>
                <w:szCs w:val="22"/>
              </w:rPr>
              <w:t> Работа редактора на радио и телевидении</w:t>
            </w:r>
          </w:p>
          <w:p>
            <w:pPr>
              <w:jc w:val="center"/>
              <w:spacing w:after="0" w:line="240" w:lineRule="auto"/>
              <w:rPr>
                <w:sz w:val="22"/>
                <w:szCs w:val="22"/>
              </w:rPr>
            </w:pPr>
            <w:r>
              <w:rPr>
                <w:rFonts w:ascii="Times New Roman" w:hAnsi="Times New Roman" w:cs="Times New Roman"/>
                <w:color w:val="#000000"/>
                <w:sz w:val="22"/>
                <w:szCs w:val="22"/>
              </w:rPr>
              <w:t> Редактирование периодических печатных изданий</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Ведущий современного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Мастерство ведущего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ПК-1</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6131.07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589.02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Разговорная речь, её особенности. Просторечие как форма устной речи, его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Межличностная коммуникация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Речь и самораскрытие. Речь и самооценка. Речь и социализация. Речь как средство утверждения социального статуса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эффективной коммуникации в различных видах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Публичная речь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воздействующая речь. Композиция. Контактоустонавливающие средства. Аргументация. Выразительные средства.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Аргументация. Логические и психологические приемы полемики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2.Жанры речи. 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5.Просторечие как форма устной речи, его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1.Условия успешного общения: Эффективность речевой коммуникации. Лингвистические и экстралингвистические условия успешного общения.</w:t>
            </w:r>
          </w:p>
          <w:p>
            <w:pPr>
              <w:jc w:val="both"/>
              <w:spacing w:after="0" w:line="240" w:lineRule="auto"/>
              <w:rPr>
                <w:sz w:val="24"/>
                <w:szCs w:val="24"/>
              </w:rPr>
            </w:pPr>
            <w:r>
              <w:rPr>
                <w:rFonts w:ascii="Times New Roman" w:hAnsi="Times New Roman" w:cs="Times New Roman"/>
                <w:color w:val="#000000"/>
                <w:sz w:val="24"/>
                <w:szCs w:val="24"/>
              </w:rPr>
              <w:t> 2.Причины коммуникативных неудач.</w:t>
            </w:r>
          </w:p>
          <w:p>
            <w:pPr>
              <w:jc w:val="both"/>
              <w:spacing w:after="0" w:line="240" w:lineRule="auto"/>
              <w:rPr>
                <w:sz w:val="24"/>
                <w:szCs w:val="24"/>
              </w:rPr>
            </w:pPr>
            <w:r>
              <w:rPr>
                <w:rFonts w:ascii="Times New Roman" w:hAnsi="Times New Roman" w:cs="Times New Roman"/>
                <w:color w:val="#000000"/>
                <w:sz w:val="24"/>
                <w:szCs w:val="24"/>
              </w:rPr>
              <w:t> 3.Чистота и богатство речи как ее коммуникативные качества.</w:t>
            </w:r>
          </w:p>
          <w:p>
            <w:pPr>
              <w:jc w:val="both"/>
              <w:spacing w:after="0" w:line="240" w:lineRule="auto"/>
              <w:rPr>
                <w:sz w:val="24"/>
                <w:szCs w:val="24"/>
              </w:rPr>
            </w:pPr>
            <w:r>
              <w:rPr>
                <w:rFonts w:ascii="Times New Roman" w:hAnsi="Times New Roman" w:cs="Times New Roman"/>
                <w:color w:val="#000000"/>
                <w:sz w:val="24"/>
                <w:szCs w:val="24"/>
              </w:rPr>
              <w:t> 4.Активный словарный запас.</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Публичная речь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Воздействующая речь.</w:t>
            </w:r>
          </w:p>
          <w:p>
            <w:pPr>
              <w:jc w:val="both"/>
              <w:spacing w:after="0" w:line="240" w:lineRule="auto"/>
              <w:rPr>
                <w:sz w:val="24"/>
                <w:szCs w:val="24"/>
              </w:rPr>
            </w:pPr>
            <w:r>
              <w:rPr>
                <w:rFonts w:ascii="Times New Roman" w:hAnsi="Times New Roman" w:cs="Times New Roman"/>
                <w:color w:val="#000000"/>
                <w:sz w:val="24"/>
                <w:szCs w:val="24"/>
              </w:rPr>
              <w:t> 2. Композиция ораторской речи.</w:t>
            </w:r>
          </w:p>
          <w:p>
            <w:pPr>
              <w:jc w:val="both"/>
              <w:spacing w:after="0" w:line="240" w:lineRule="auto"/>
              <w:rPr>
                <w:sz w:val="24"/>
                <w:szCs w:val="24"/>
              </w:rPr>
            </w:pPr>
            <w:r>
              <w:rPr>
                <w:rFonts w:ascii="Times New Roman" w:hAnsi="Times New Roman" w:cs="Times New Roman"/>
                <w:color w:val="#000000"/>
                <w:sz w:val="24"/>
                <w:szCs w:val="24"/>
              </w:rPr>
              <w:t> 3. Контактоустанавливающие средства.</w:t>
            </w:r>
          </w:p>
          <w:p>
            <w:pPr>
              <w:jc w:val="both"/>
              <w:spacing w:after="0" w:line="240" w:lineRule="auto"/>
              <w:rPr>
                <w:sz w:val="24"/>
                <w:szCs w:val="24"/>
              </w:rPr>
            </w:pPr>
            <w:r>
              <w:rPr>
                <w:rFonts w:ascii="Times New Roman" w:hAnsi="Times New Roman" w:cs="Times New Roman"/>
                <w:color w:val="#000000"/>
                <w:sz w:val="24"/>
                <w:szCs w:val="24"/>
              </w:rPr>
              <w:t> 4. Выразительные средства.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русский язык»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Венедиктова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Бергельсон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Борисенко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Дианова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Кибрик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Гудков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https://urait.ru/bcode/413728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Анпилогова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Кудашова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http://www.iprbookshop.ru/61412.html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39.2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2023-2024_ФГОС3++2023_Бак-ОФО-ПО2(ДОиНО)(23)_plx_Современный русский язык</dc:title>
  <dc:creator>FastReport.NET</dc:creator>
</cp:coreProperties>
</file>